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Valmistaja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Malli: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Kompakti, tilaa säästävä </w:t>
      </w:r>
      <w:r w:rsidRPr="003527A2">
        <w:rPr>
          <w:rFonts w:cstheme="minorHAnsi"/>
          <w:color w:val="000000"/>
        </w:rPr>
        <w:t xml:space="preserve">kaksiaxiaalinen </w:t>
      </w:r>
      <w:r w:rsidRPr="003527A2">
        <w:rPr>
          <w:rFonts w:cstheme="minorHAnsi"/>
          <w:color w:val="000000"/>
        </w:rPr>
        <w:t xml:space="preserve">murskain karkeiden ja kiinteiden aineiden murskaamiseen </w:t>
      </w:r>
      <w:r w:rsidRPr="003527A2" w:rsidR="009320D4">
        <w:rPr>
          <w:rFonts w:cstheme="minorHAnsi"/>
          <w:color w:val="000000"/>
        </w:rPr>
        <w:t xml:space="preserve">viemärilaitteistoissa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Tehokas suoja tukosten ja tukkeumien muodostumista vastaan putkistoissa, pumpuissa ja venttiileissä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Kiinteiden aineiden taloudellinen käsittely nestemäisissä väliaineissa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Sopii erilaisille karkeille ja kiinteille aineille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Malli, jossa on </w:t>
      </w:r>
      <w:r w:rsidRPr="003527A2">
        <w:rPr>
          <w:rFonts w:cstheme="minorHAnsi"/>
          <w:color w:val="000000"/>
        </w:rPr>
        <w:t xml:space="preserve">viemäri-integraatiosarja kaivon tai viemärin asennusta varten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Suunnittelu- ja käyttötiedot: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Käsiteltävä aine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Kuljetuskapasiteetti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Kiintoainepitoisuus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Lämpötila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pH-arvo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ATEX-malli:   kyllä  / ei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Vyöhyke: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Lämpötilaluokka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Kestää kuivakäynnin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Tiiviste </w:t>
      </w:r>
      <w:r w:rsidRPr="003527A2">
        <w:rPr>
          <w:rFonts w:cstheme="minorHAnsi"/>
        </w:rPr>
        <w:t xml:space="preserve">patruunayksikkönä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Materiaalit ja rakenne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Ripper-roottorit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erittäin kulutuskestävä erikoisteräs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Leikkuuterän leveys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Roottorin rakenne: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monoliittinen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Nesteen kanssa kosketuksissa olevat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Kotelon osat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Teräs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Suojalevyt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erittäin kulutuskestävä erikoisteräs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Akselitiiviste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Keskustäytteinen</w:t>
      </w:r>
      <w:r w:rsidRPr="003527A2">
        <w:rPr>
          <w:rFonts w:cstheme="minorHAnsi"/>
        </w:rPr>
        <w:t xml:space="preserve"> liukurengastiiviste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tiivistyskammio ja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vuodonilmaisimella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Liukurengaspari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lohkorenkaan </w:t>
      </w:r>
      <w:r w:rsidRPr="003527A2">
        <w:rPr>
          <w:rFonts w:cstheme="minorHAnsi"/>
        </w:rPr>
        <w:t xml:space="preserve">ja Duronitin yhdist</w:t>
      </w:r>
      <w:r w:rsidRPr="003527A2">
        <w:rPr>
          <w:rFonts w:cstheme="minorHAnsi"/>
        </w:rPr>
        <w:t xml:space="preserve">elmä, </w:t>
      </w:r>
      <w:r w:rsidRPr="003527A2">
        <w:rPr>
          <w:rFonts w:cstheme="minorHAnsi"/>
        </w:rPr>
        <w:t xml:space="preserve">jossa NBR-O-rengas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Nesteen kanssa kosketuksissa olevat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O-renkaat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Valitut materiaalit </w:t>
      </w:r>
      <w:r w:rsidRPr="003527A2" w:rsidR="00F5608E">
        <w:rPr>
          <w:rFonts w:cstheme="minorHAnsi"/>
          <w:b/>
          <w:bCs/>
        </w:rPr>
        <w:t xml:space="preserve">/ malli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Ripper-roottorit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Roottorin rakenne </w:t>
      </w:r>
      <w:r w:rsidRPr="003527A2" w:rsidR="00F5608E">
        <w:rPr>
          <w:rFonts w:cstheme="minorHAnsi"/>
        </w:rPr>
        <w:t xml:space="preserve">monoliittinen </w:t>
      </w:r>
      <w:r w:rsidRPr="003527A2" w:rsidR="00F5608E">
        <w:rPr>
          <w:rFonts w:cstheme="minorHAnsi"/>
        </w:rPr>
        <w:t xml:space="preserve">(yksiosainen)       kyllä    ei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Leikkuuterän leveys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Suojalevyt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Liukurengaspari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Kotelon osat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Käyttö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 w:rsidR="009C482C">
        <w:rPr>
          <w:rFonts w:cstheme="minorHAnsi"/>
        </w:rPr>
        <w:t xml:space="preserve">Upotettava </w:t>
      </w:r>
      <w:r w:rsidRPr="003527A2">
        <w:rPr>
          <w:rFonts w:cstheme="minorHAnsi"/>
        </w:rPr>
        <w:t xml:space="preserve">litteä vaihdemoottori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Valmistaja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Malli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Teho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Lähtönopeus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r/min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Jännite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Taajuus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Suojausluokka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ISO-luokka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Lämpötila-anturi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ja moottori on kytketty suoraan toisiinsa teräksisen (maalatun) vääntömomenttituen avulla.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Seinäkiinnitys:  suora / pyöreä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</w:t>
      </w:r>
      <w:r w:rsidRPr="003527A2">
        <w:rPr>
          <w:rFonts w:cstheme="minorHAnsi"/>
        </w:rPr>
        <w:t xml:space="preserve">-mallissa </w:t>
      </w:r>
      <w:r w:rsidRPr="003527A2">
        <w:rPr>
          <w:rFonts w:cstheme="minorHAnsi"/>
        </w:rPr>
        <w:t xml:space="preserve">on ruostumattomasta teräksestä valmistettu seinäkiinnike, jonka ansiosta laite voidaan asentaa suoraan kanavan ulostulon eteen. Ohjauskiskolla varustettu seinäkiinnike mahdollistaa koko </w:t>
      </w:r>
      <w:r w:rsidRPr="003527A2">
        <w:rPr>
          <w:rFonts w:cstheme="minorHAnsi"/>
        </w:rPr>
        <w:t xml:space="preserve">XRipperin </w:t>
      </w:r>
      <w:r w:rsidRPr="003527A2">
        <w:rPr>
          <w:rFonts w:cstheme="minorHAnsi"/>
        </w:rPr>
        <w:t xml:space="preserve">nostamisen kanavasta ylöspäin nostosangon avulla huolto- ja kunnossapitotöitä varten. Kun silppuri otetaan uudelleen käyttöön, se lasketaan kiskoja pitkin takaisin konsoliin. Konsoli pitää sen itsestään paikallaan ilman, että lisävarmistusta tarvitaan.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sis. ruostumattomasta teräksestä valmistetun ohjauskiskon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Ohjauskiskon pituus: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Kanavan halkaisija: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Kanavan muoto: avoin uoma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Kanavan leveys: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Kanavan korkeus: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Maalaus: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+++KTL-pohjamaali </w:t>
      </w:r>
      <w:r w:rsidRPr="003527A2" w:rsidR="009320D4">
        <w:rPr>
          <w:rFonts w:cstheme="minorHAnsi"/>
        </w:rPr>
        <w:t xml:space="preserve">teräksen suojaukseen++++</w:t>
      </w:r>
      <w:r w:rsidRPr="003527A2">
        <w:rPr>
          <w:rFonts w:cstheme="minorHAnsi"/>
        </w:rPr>
        <w:t xml:space="preserve">, pintamaali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liikennepunainen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Käyttölaite: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teräksen suojapohjamaali, pintamaali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liikennepunainen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Kokonaispaino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Mitat (</w:t>
      </w:r>
      <w:r w:rsidRPr="003527A2">
        <w:rPr>
          <w:rFonts w:cstheme="minorHAnsi"/>
        </w:rPr>
        <w:t xml:space="preserve">PxLxK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Toimitetaan edellä kuvatun mukainen </w:t>
      </w:r>
      <w:r w:rsidRPr="003527A2">
        <w:rPr>
          <w:rFonts w:cstheme="minorHAnsi"/>
        </w:rPr>
        <w:t xml:space="preserve">XRipper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Lisävarusteet: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Ohjaus </w:t>
      </w:r>
      <w:r w:rsidRPr="003527A2" w:rsidR="00954D05">
        <w:rPr>
          <w:rFonts w:cstheme="minorHAnsi"/>
          <w:b/>
          <w:bCs/>
        </w:rPr>
        <w:t xml:space="preserve">asennettuna kytkentäkaappiin </w:t>
      </w:r>
      <w:r w:rsidRPr="003527A2" w:rsidR="00E71DEC">
        <w:rPr>
          <w:rFonts w:cstheme="minorHAnsi"/>
          <w:b/>
          <w:bCs/>
        </w:rPr>
        <w:t xml:space="preserve">(ei ATEX XRC -mallia varten)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Sähkökaappi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Paikallinen ohjauspiste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Mitat (K x L x S):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Materiaali: teräs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XRipperin</w:t>
      </w:r>
      <w:r w:rsidRPr="003527A2">
        <w:rPr>
          <w:rFonts w:cstheme="minorHAnsi"/>
        </w:rPr>
        <w:t xml:space="preserve"> teho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XRipperin</w:t>
      </w:r>
      <w:r w:rsidRPr="003527A2">
        <w:rPr>
          <w:rFonts w:cstheme="minorHAnsi"/>
        </w:rPr>
        <w:t xml:space="preserve"> kuormapiiri</w:t>
      </w:r>
      <w:r w:rsidRPr="003527A2">
        <w:rPr>
          <w:rFonts w:cstheme="minorHAnsi"/>
        </w:rPr>
        <w:t xml:space="preserve">: Suora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Sisältää ohjelmiston / tukoshallinnan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Ohjain, johon on asennettu ohjelmisto </w:t>
      </w:r>
      <w:r w:rsidRPr="003527A2" w:rsidR="009854B0">
        <w:rPr>
          <w:rFonts w:cstheme="minorHAnsi"/>
          <w:b/>
          <w:bCs/>
        </w:rPr>
        <w:t xml:space="preserve">(ATEX XRC- ja ei-ATEX XRC -malleille)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Esiasennettu asennuskiskoon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Kytkentäkaappiin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Ohjausmoduuli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Tyyppi: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Tiedonsiirto: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Etäohjausliitäntä: Tietoliikenteen kautta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Syöttöjännite: 24 V DC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Suojausluokka: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Mitat (L x K x S):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Asennustapa: DIN-kisko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Sisältää ohjelmiston </w:t>
      </w:r>
      <w:r w:rsidRPr="003527A2" w:rsidR="00EA3677">
        <w:rPr>
          <w:rFonts w:cstheme="minorHAnsi"/>
        </w:rPr>
        <w:t xml:space="preserve">/ tukosten hallinnan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docId:EABACAC33113B274AA4F07DE11B05469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