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Tillverkare: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Tvåaxlig fragmenterare </w:t>
      </w:r>
      <w:r w:rsidRPr="00296C81">
        <w:rPr>
          <w:rFonts w:cstheme="minorHAnsi"/>
        </w:rPr>
        <w:t xml:space="preserve">för fragmentering av grova och fasta ämnen i en vätskeström.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I vertikal, utrymmesbesparande utförande med drivning placerad direkt ovanför finfördelningskammaren. Kompakt konstruktion med liten platsbehov för installation i rörledningar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Effektivt skydd mot igensättning och blockeringar i rörledningar, pumpar och armaturer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Ekonomisk bearbetning av fasta ämnen i flytande medier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Lämplig för olika grova och fasta ämnen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Konstruktions- och driftsdata: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Transportmedium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Genomströmning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Andel fasta ämnen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 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pH-värde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Driftstryck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Tätning som </w:t>
      </w:r>
      <w:r w:rsidRPr="00296C81">
        <w:rPr>
          <w:rFonts w:cstheme="minorHAnsi"/>
        </w:rPr>
        <w:t xml:space="preserve">patronenhet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Robusta monolitiska (helgjutna) rotorer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Ripper-rotorer kan demonteras utan att rörledningarna behöver demonteras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Material och utförande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särskilt slitstarkt specialstål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Skärbladets bredd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Rotorkonstruktion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monolitisk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Delar som kommer i kontakt med vätska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Husdelar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Skyddsplattor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särskilt slitstarkt specialstål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Axeltätning</w:t>
      </w:r>
      <w:r>
        <w:rPr>
          <w:rFonts w:cstheme="minorHAnsi"/>
        </w:rPr>
        <w:tab/>
      </w:r>
      <w:r>
        <w:rPr>
          <w:rFonts w:cstheme="minorHAnsi"/>
        </w:rPr>
        <w:t xml:space="preserve">Glidringstätning, </w:t>
      </w:r>
      <w:r>
        <w:rPr>
          <w:rFonts w:cstheme="minorHAnsi"/>
        </w:rPr>
        <w:t xml:space="preserve">mediekyld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med tätningskammare och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läckageindikator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Glidringpar</w:t>
      </w:r>
      <w:r>
        <w:rPr>
          <w:rFonts w:cstheme="minorHAnsi"/>
        </w:rPr>
        <w:tab/>
      </w:r>
      <w:r>
        <w:rPr>
          <w:rFonts w:cstheme="minorHAnsi"/>
        </w:rPr>
        <w:t xml:space="preserve">Blockring/Duronit </w:t>
      </w:r>
      <w:r>
        <w:rPr>
          <w:rFonts w:cstheme="minorHAnsi"/>
        </w:rPr>
        <w:t xml:space="preserve">med NBR-O-ring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I kontakt med vätska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O-ringar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Anslutningar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</w:t>
      </w:r>
      <w:r>
        <w:rPr>
          <w:rFonts w:cstheme="minorHAnsi"/>
        </w:rPr>
        <w:t xml:space="preserve">-anslutningar med stödben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Material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Inlopp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kompatibel med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Utlopp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kompatibel med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Inloppssidan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Anslutningsbox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ja ___  nej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Drivning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Plattväxelmotor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Tillverkare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Effekt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Utgående varvtal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varv/min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Spänning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Frekvens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Skyddsklass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ISO-klass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Temperaturgivare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och motor är direkt kopplade till varandra via en vridmomentstöd av stål (lackerad).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Lackering: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Grundfärg för stålskydd, täckfärg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trafikröd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Drivsystem: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Grundfärg för stålskydd, täckfärg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trafikröd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Totalvikt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Mått (</w:t>
      </w:r>
      <w:r w:rsidRPr="001F09D4">
        <w:rPr>
          <w:rFonts w:cstheme="minorHAnsi"/>
        </w:rPr>
        <w:t xml:space="preserve">LxBxH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Leverera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enligt beskrivningen ovan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Tillval: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Styrning monterad i elskåp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Elskåp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Lokal manöverpanel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Mått (H x B x D):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Material: stål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Effekt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Lastkrets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Direkt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Inkl. programvara / blockeringshantering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Styrenhet med installerad programvara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Förmonterad på skena för installation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I en elskåp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Styrmodul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Datakommunikation: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Gränssnitt för fjärrstyrning: Via datakommunikation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Matningsspänning: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Skyddsklass: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Mått (B x H x D):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Monteringssätt: DIN-skena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Inkl. programvara / blockeringshantering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docId:71B2F1444EB348F9C190C7F15A14CC0C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