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Marcă: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Tip: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Tocător cu două arbori </w:t>
      </w:r>
      <w:r w:rsidRPr="00296C81">
        <w:rPr>
          <w:rFonts w:cstheme="minorHAnsi"/>
        </w:rPr>
        <w:t xml:space="preserve">pentru mărunțirea materialelor grosiere și solide într-un flux de lichid.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În variantă verticală, compactă, cu motorul amplasat direct deasupra camerei de mărunțire. Construcție compactă, cu amprentă redusă la sol, pentru montarea în conducte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Protecție eficientă împotriva înfundărilor și blocajelor din conducte, pompe și armături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Prelucrare economică a materialelor solide în medii lichide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Potrivit pentru diverse materiale grosiere și solide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Date de proiectare și de funcționare: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Mediul transportat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Debit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Procentaj de substanțe solide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Valoarea pH-ului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Presiune de funcționare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Garnitură sub formă de </w:t>
      </w:r>
      <w:r w:rsidRPr="00296C81">
        <w:rPr>
          <w:rFonts w:cstheme="minorHAnsi"/>
        </w:rPr>
        <w:t xml:space="preserve">cartuș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Rotori monolitici (dintr-o singură bucată) rezistenți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Rotoarele Ripper pot fi demontate fără a fi necesară demontarea conductelor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Materiale și execuție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Rotori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oțel special cu rezistență ridicată la uzură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Lățimea lamei de tăiere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Designul rotorului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monolitic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Piese ale carcasei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Piese ale carcasei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Plăci de protecție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oțel special cu rezistență ridicată la uzură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Etanșarea arborelui</w:t>
      </w:r>
      <w:r>
        <w:rPr>
          <w:rFonts w:cstheme="minorHAnsi"/>
        </w:rPr>
        <w:tab/>
      </w:r>
      <w:r>
        <w:rPr>
          <w:rFonts w:cstheme="minorHAnsi"/>
        </w:rPr>
        <w:t xml:space="preserve">Garnitură inelară de etanșare </w:t>
      </w:r>
      <w:r>
        <w:rPr>
          <w:rFonts w:cstheme="minorHAnsi"/>
        </w:rPr>
        <w:t xml:space="preserve">răcită cu fluid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cu cameră de etanșare și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indicator de scurgere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Pereche de inele de etanșare</w:t>
      </w:r>
      <w:r>
        <w:rPr>
          <w:rFonts w:cstheme="minorHAnsi"/>
        </w:rPr>
        <w:tab/>
      </w:r>
      <w:r>
        <w:rPr>
          <w:rFonts w:cstheme="minorHAnsi"/>
        </w:rPr>
        <w:t xml:space="preserve">Inel </w:t>
      </w:r>
      <w:r>
        <w:rPr>
          <w:rFonts w:cstheme="minorHAnsi"/>
        </w:rPr>
        <w:t xml:space="preserve">bloc/Duronit </w:t>
      </w:r>
      <w:r>
        <w:rPr>
          <w:rFonts w:cstheme="minorHAnsi"/>
        </w:rPr>
        <w:t xml:space="preserve">cu inel O din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În contact cu lichidul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Inele 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Racorduri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Racorduri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cu picioare de sprijin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Intrare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compatibil cu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Ieșire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compatibil cu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Pe partea de intrare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Cutie de racordare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da ___  nu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Acționare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Motor cu reductor plat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Producător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Tip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Putere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Turația de ieșire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rpm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Tensiune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Frecvență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Grad de protecție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Clasa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Senzor de temperatură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și motorul sunt conectate direct între ele printr-un suport de cuplu din oțel (vopsit).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Vopsire: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Grund de protecție pentru oțel, strat de finisare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roșu trafic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Acționare: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Grund de protecție pentru oțel, strat de finisare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roșu de semnalizare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Greutate totală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Dimensiuni (</w:t>
      </w:r>
      <w:r w:rsidRPr="001F09D4">
        <w:rPr>
          <w:rFonts w:cstheme="minorHAnsi"/>
        </w:rPr>
        <w:t xml:space="preserve">LxlxH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Livrați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conform descrierii anterioare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Opțiuni: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Sistem de comandă montat în dulapul electric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Tablou de comandă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Panou de comandă local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Dimensiuni (H x L x A):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Material: oțel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Putere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Circuit de sarcină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direct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Include software / gestionarea blocajelor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Controler cu software instalat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Preasamblat pe șină de susținere pentru montare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Într-un dulap electric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Modul de comandă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Tip: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Comunicare de date: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Interfață de control la distanță: prin comunicații de date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Tensiune de alimentare: 24 V c.c.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Grad de protecție: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Dimensiuni (L x Î x A):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Mod de montare: șină DIN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Include software / gestionarea blocajelor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docId:F7045B0A9AF3A24618CDF1DF6B0252E3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